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48" w:rsidRDefault="00E93DD1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OLE_LINK1"/>
      <w:r>
        <w:rPr>
          <w:rFonts w:ascii="宋体" w:eastAsia="宋体" w:hAnsi="宋体" w:cs="Times New Roman" w:hint="eastAsia"/>
          <w:b/>
          <w:sz w:val="30"/>
          <w:szCs w:val="30"/>
        </w:rPr>
        <w:t>2021年蝶形引入光缆招标入围项目答疑</w:t>
      </w:r>
    </w:p>
    <w:p w:rsidR="00A14348" w:rsidRDefault="00E93DD1">
      <w:pPr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（招标编号：</w:t>
      </w:r>
      <w:r>
        <w:rPr>
          <w:rFonts w:ascii="宋体" w:eastAsia="宋体" w:hAnsi="宋体" w:cs="Times New Roman"/>
          <w:b/>
          <w:sz w:val="24"/>
          <w:szCs w:val="24"/>
        </w:rPr>
        <w:t>HBT-</w:t>
      </w:r>
      <w:r>
        <w:rPr>
          <w:rFonts w:ascii="宋体" w:eastAsia="宋体" w:hAnsi="宋体" w:cs="Times New Roman" w:hint="eastAsia"/>
          <w:b/>
          <w:sz w:val="24"/>
          <w:szCs w:val="24"/>
        </w:rPr>
        <w:t>13200163-213861）</w:t>
      </w:r>
    </w:p>
    <w:p w:rsidR="00A14348" w:rsidRDefault="00E93DD1">
      <w:pPr>
        <w:adjustRightInd w:val="0"/>
        <w:snapToGrid w:val="0"/>
        <w:spacing w:line="360" w:lineRule="auto"/>
        <w:ind w:firstLine="5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各投标人： </w:t>
      </w:r>
    </w:p>
    <w:p w:rsidR="00A14348" w:rsidRDefault="00E93DD1">
      <w:pPr>
        <w:adjustRightInd w:val="0"/>
        <w:snapToGrid w:val="0"/>
        <w:spacing w:line="360" w:lineRule="auto"/>
        <w:ind w:firstLine="5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现对2021年蝶形引入光缆招标入围项目答疑内容如下：</w:t>
      </w:r>
    </w:p>
    <w:p w:rsidR="00A14348" w:rsidRDefault="00E93DD1">
      <w:pPr>
        <w:adjustRightInd w:val="0"/>
        <w:snapToGrid w:val="0"/>
        <w:spacing w:line="360" w:lineRule="auto"/>
        <w:ind w:firstLine="5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问题1：4芯光纤为散状光纤还是带状光纤？</w:t>
      </w:r>
    </w:p>
    <w:p w:rsidR="00A14348" w:rsidRDefault="00E93D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P28 2.2.1表1</w:t>
      </w:r>
    </w:p>
    <w:p w:rsidR="00A14348" w:rsidRDefault="00E93DD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1936750"/>
            <wp:effectExtent l="0" t="0" r="139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348" w:rsidRDefault="00E93D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P76  附件2序号19</w:t>
      </w:r>
    </w:p>
    <w:p w:rsidR="00A14348" w:rsidRDefault="00E93DD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457200"/>
            <wp:effectExtent l="0" t="0" r="139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348" w:rsidRDefault="00A14348">
      <w:pPr>
        <w:pStyle w:val="a7"/>
        <w:ind w:left="360" w:firstLineChars="0" w:firstLine="0"/>
        <w:rPr>
          <w:rFonts w:asciiTheme="minorEastAsia" w:hAnsiTheme="minorEastAsia"/>
          <w:sz w:val="24"/>
        </w:rPr>
      </w:pPr>
    </w:p>
    <w:p w:rsidR="00A14348" w:rsidRPr="00511494" w:rsidRDefault="00E93DD1">
      <w:pPr>
        <w:adjustRightInd w:val="0"/>
        <w:snapToGrid w:val="0"/>
        <w:spacing w:line="360" w:lineRule="auto"/>
        <w:ind w:firstLine="5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答复：</w:t>
      </w:r>
      <w:r w:rsidRPr="00511494">
        <w:rPr>
          <w:rFonts w:ascii="宋体" w:eastAsia="宋体" w:hAnsi="宋体" w:cs="Times New Roman" w:hint="eastAsia"/>
          <w:sz w:val="24"/>
          <w:szCs w:val="24"/>
        </w:rPr>
        <w:t>4芯用散状或带状光纤均可。4芯尺寸为2.0×4.0mm。</w:t>
      </w:r>
    </w:p>
    <w:p w:rsidR="00A14348" w:rsidRDefault="00E93DD1">
      <w:pPr>
        <w:adjustRightInd w:val="0"/>
        <w:snapToGrid w:val="0"/>
        <w:spacing w:line="360" w:lineRule="auto"/>
        <w:ind w:firstLine="5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问题2：财务状况表时间范围以哪里为准？</w:t>
      </w:r>
    </w:p>
    <w:p w:rsidR="00A14348" w:rsidRDefault="00E93D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51</w:t>
      </w:r>
      <w:r>
        <w:rPr>
          <w:rFonts w:hint="eastAsia"/>
          <w:sz w:val="24"/>
          <w:szCs w:val="24"/>
        </w:rPr>
        <w:t>（三）近年财务状况表</w:t>
      </w:r>
    </w:p>
    <w:p w:rsidR="00A14348" w:rsidRDefault="00E93DD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180167" cy="965200"/>
            <wp:effectExtent l="0" t="0" r="190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470" cy="97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48" w:rsidRDefault="00E93DD1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68</w:t>
      </w:r>
      <w:r>
        <w:rPr>
          <w:rFonts w:hint="eastAsia"/>
          <w:sz w:val="24"/>
          <w:szCs w:val="24"/>
        </w:rPr>
        <w:t>企业财务状况</w:t>
      </w:r>
    </w:p>
    <w:p w:rsidR="00A14348" w:rsidRDefault="00E93DD1">
      <w:pPr>
        <w:rPr>
          <w:rFonts w:asciiTheme="minorEastAsia" w:hAnsiTheme="minorEastAsia"/>
          <w:b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5048250" cy="1038225"/>
            <wp:effectExtent l="0" t="0" r="1143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48" w:rsidRDefault="00A14348">
      <w:pPr>
        <w:adjustRightInd w:val="0"/>
        <w:snapToGrid w:val="0"/>
        <w:spacing w:line="360" w:lineRule="auto"/>
        <w:ind w:firstLine="560"/>
        <w:rPr>
          <w:rFonts w:ascii="宋体" w:eastAsia="宋体" w:hAnsi="宋体" w:cs="Times New Roman"/>
          <w:sz w:val="24"/>
          <w:szCs w:val="24"/>
        </w:rPr>
      </w:pPr>
    </w:p>
    <w:p w:rsidR="00A14348" w:rsidRDefault="00E93DD1">
      <w:pPr>
        <w:adjustRightInd w:val="0"/>
        <w:snapToGrid w:val="0"/>
        <w:spacing w:line="360" w:lineRule="auto"/>
        <w:ind w:firstLine="5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答复：财务状况表时间范围以评分表里要求为准。</w:t>
      </w:r>
    </w:p>
    <w:p w:rsidR="00A14348" w:rsidRDefault="00E93DD1">
      <w:pPr>
        <w:adjustRightInd w:val="0"/>
        <w:snapToGrid w:val="0"/>
        <w:spacing w:line="360" w:lineRule="auto"/>
        <w:ind w:firstLine="5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问题3：供货案例可累加，是否指同一个案例供货金额是35万的倍数即可按倍数来计入案例数量？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6144"/>
        <w:gridCol w:w="746"/>
      </w:tblGrid>
      <w:tr w:rsidR="00A14348">
        <w:trPr>
          <w:trHeight w:val="675"/>
          <w:jc w:val="center"/>
        </w:trPr>
        <w:tc>
          <w:tcPr>
            <w:tcW w:w="1768" w:type="dxa"/>
            <w:vAlign w:val="center"/>
          </w:tcPr>
          <w:p w:rsidR="00A14348" w:rsidRDefault="00E93DD1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供货案例</w:t>
            </w:r>
          </w:p>
          <w:p w:rsidR="00A14348" w:rsidRDefault="00E93DD1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（</w:t>
            </w:r>
            <w:r>
              <w:rPr>
                <w:rFonts w:eastAsia="宋体" w:hint="eastAsia"/>
              </w:rPr>
              <w:t>20</w:t>
            </w:r>
            <w:r>
              <w:rPr>
                <w:rFonts w:eastAsia="宋体"/>
              </w:rPr>
              <w:t>分）</w:t>
            </w:r>
          </w:p>
        </w:tc>
        <w:tc>
          <w:tcPr>
            <w:tcW w:w="5439" w:type="dxa"/>
            <w:vAlign w:val="center"/>
          </w:tcPr>
          <w:p w:rsidR="00A14348" w:rsidRDefault="00E93DD1">
            <w:pPr>
              <w:adjustRightInd w:val="0"/>
              <w:spacing w:line="360" w:lineRule="atLeast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投标人提供201</w:t>
            </w:r>
            <w:r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 w:hint="eastAsia"/>
              </w:rPr>
              <w:t>年1月至今</w:t>
            </w:r>
            <w:r>
              <w:rPr>
                <w:rFonts w:ascii="宋体" w:eastAsia="宋体" w:hAnsi="宋体" w:cs="宋体"/>
              </w:rPr>
              <w:t>在</w:t>
            </w:r>
            <w:r>
              <w:rPr>
                <w:rFonts w:ascii="宋体" w:eastAsia="宋体" w:hAnsi="宋体" w:cs="宋体" w:hint="eastAsia"/>
              </w:rPr>
              <w:t>全国省级</w:t>
            </w:r>
            <w:r>
              <w:rPr>
                <w:rFonts w:ascii="宋体" w:eastAsia="宋体" w:hAnsi="宋体" w:cs="宋体"/>
              </w:rPr>
              <w:t>电信运营商</w:t>
            </w:r>
            <w:r>
              <w:rPr>
                <w:rFonts w:ascii="宋体" w:eastAsia="宋体" w:hAnsi="宋体" w:cs="宋体" w:hint="eastAsia"/>
              </w:rPr>
              <w:t>、地市级及以上</w:t>
            </w:r>
            <w:r>
              <w:rPr>
                <w:rFonts w:ascii="宋体" w:eastAsia="宋体" w:hAnsi="宋体" w:cs="宋体"/>
              </w:rPr>
              <w:t>广电行业销售金额案例超过</w:t>
            </w:r>
            <w:r>
              <w:rPr>
                <w:rFonts w:ascii="宋体" w:eastAsia="宋体" w:hAnsi="宋体" w:cs="宋体" w:hint="eastAsia"/>
              </w:rPr>
              <w:t>35</w:t>
            </w:r>
            <w:r>
              <w:rPr>
                <w:rFonts w:ascii="宋体" w:eastAsia="宋体" w:hAnsi="宋体" w:cs="宋体"/>
              </w:rPr>
              <w:t>万元（含）供货案例</w:t>
            </w:r>
            <w:r>
              <w:rPr>
                <w:rFonts w:ascii="宋体" w:eastAsia="宋体" w:hAnsi="宋体" w:cs="宋体" w:hint="eastAsia"/>
              </w:rPr>
              <w:t>，每提供一个得</w:t>
            </w:r>
            <w:r>
              <w:rPr>
                <w:rFonts w:ascii="宋体" w:eastAsia="宋体" w:hAnsi="宋体" w:cs="宋体"/>
              </w:rPr>
              <w:t>0.5分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/>
              </w:rPr>
              <w:t>本项最多得</w:t>
            </w:r>
            <w:r>
              <w:rPr>
                <w:rFonts w:ascii="宋体" w:eastAsia="宋体" w:hAnsi="宋体" w:cs="宋体" w:hint="eastAsia"/>
              </w:rPr>
              <w:t>20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:rsidR="00A14348" w:rsidRDefault="00E93DD1">
            <w:pPr>
              <w:adjustRightInd w:val="0"/>
              <w:spacing w:line="360" w:lineRule="atLeast"/>
              <w:textAlignment w:val="baseline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注：1、</w:t>
            </w:r>
            <w:r>
              <w:rPr>
                <w:rFonts w:ascii="宋体" w:eastAsia="宋体" w:hAnsi="宋体" w:cs="宋体"/>
                <w:b/>
                <w:bCs/>
              </w:rPr>
              <w:t>以供货合同</w:t>
            </w:r>
            <w:r>
              <w:rPr>
                <w:rFonts w:ascii="宋体" w:eastAsia="宋体" w:hAnsi="宋体" w:cs="宋体" w:hint="eastAsia"/>
                <w:b/>
                <w:bCs/>
              </w:rPr>
              <w:t>或框架合同加订单（复印件加盖投标人公章）</w:t>
            </w:r>
            <w:r>
              <w:rPr>
                <w:rFonts w:ascii="宋体" w:eastAsia="宋体" w:hAnsi="宋体" w:cs="宋体"/>
                <w:b/>
                <w:bCs/>
              </w:rPr>
              <w:t>为准</w:t>
            </w:r>
            <w:r>
              <w:rPr>
                <w:rFonts w:ascii="宋体" w:eastAsia="宋体" w:hAnsi="宋体" w:cs="宋体" w:hint="eastAsia"/>
                <w:b/>
                <w:bCs/>
              </w:rPr>
              <w:t>，供货案例可累加</w:t>
            </w:r>
            <w:r>
              <w:rPr>
                <w:rFonts w:ascii="宋体" w:eastAsia="宋体" w:hAnsi="宋体" w:cs="宋体"/>
                <w:b/>
                <w:bCs/>
              </w:rPr>
              <w:t>；</w:t>
            </w:r>
          </w:p>
          <w:p w:rsidR="00A14348" w:rsidRDefault="00E93DD1">
            <w:pPr>
              <w:adjustRightInd w:val="0"/>
              <w:spacing w:line="360" w:lineRule="atLeast"/>
              <w:textAlignment w:val="baseline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2、必须提供甲方联系人信息，作为核实依据并加盖投标人公章；</w:t>
            </w:r>
          </w:p>
          <w:p w:rsidR="00A14348" w:rsidRDefault="00E93DD1">
            <w:pPr>
              <w:adjustRightInd w:val="0"/>
              <w:spacing w:line="360" w:lineRule="atLeast"/>
              <w:textAlignment w:val="baseline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</w:rPr>
              <w:t>3、</w:t>
            </w:r>
            <w:r>
              <w:rPr>
                <w:rFonts w:ascii="宋体" w:eastAsia="宋体" w:hAnsi="宋体" w:cs="宋体" w:hint="eastAsia"/>
                <w:b/>
                <w:szCs w:val="20"/>
              </w:rPr>
              <w:t>如投标人未按上述两条要求提供材料或提供的材料缺漏不全、</w:t>
            </w:r>
            <w:r>
              <w:rPr>
                <w:rFonts w:ascii="宋体" w:eastAsia="宋体" w:hAnsi="宋体" w:hint="eastAsia"/>
                <w:b/>
                <w:szCs w:val="20"/>
              </w:rPr>
              <w:t>界定不清</w:t>
            </w:r>
            <w:r>
              <w:rPr>
                <w:rFonts w:ascii="宋体" w:eastAsia="宋体" w:hAnsi="宋体" w:cs="宋体" w:hint="eastAsia"/>
                <w:b/>
                <w:szCs w:val="20"/>
              </w:rPr>
              <w:t>，则本项不得分；</w:t>
            </w:r>
          </w:p>
          <w:p w:rsidR="00A14348" w:rsidRDefault="00E93DD1">
            <w:pPr>
              <w:adjustRightInd w:val="0"/>
              <w:spacing w:line="360" w:lineRule="atLeast"/>
              <w:textAlignment w:val="baseline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b/>
              </w:rPr>
              <w:t>4、若发现案例作假，取消投标人中标资格。</w:t>
            </w:r>
          </w:p>
        </w:tc>
        <w:tc>
          <w:tcPr>
            <w:tcW w:w="660" w:type="dxa"/>
            <w:vAlign w:val="center"/>
          </w:tcPr>
          <w:p w:rsidR="00A14348" w:rsidRDefault="00E93DD1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 w:hint="eastAsia"/>
              </w:rPr>
              <w:t>20</w:t>
            </w:r>
          </w:p>
        </w:tc>
      </w:tr>
    </w:tbl>
    <w:p w:rsidR="00A14348" w:rsidRDefault="00E93DD1">
      <w:pPr>
        <w:adjustRightInd w:val="0"/>
        <w:snapToGrid w:val="0"/>
        <w:spacing w:line="360" w:lineRule="auto"/>
        <w:ind w:firstLine="56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答复：同一个案例供货金额是35万的倍数可以按倍数来计入案例数量。</w:t>
      </w:r>
    </w:p>
    <w:p w:rsidR="00A14348" w:rsidRDefault="00E93DD1">
      <w:pPr>
        <w:pStyle w:val="2"/>
        <w:spacing w:line="240" w:lineRule="auto"/>
        <w:ind w:firstLineChars="200" w:firstLine="480"/>
        <w:rPr>
          <w:rFonts w:ascii="宋体" w:eastAsia="宋体" w:hAnsi="宋体" w:cs="Times New Roman"/>
          <w:b w:val="0"/>
          <w:bCs w:val="0"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b w:val="0"/>
          <w:bCs w:val="0"/>
          <w:kern w:val="2"/>
          <w:sz w:val="24"/>
          <w:szCs w:val="24"/>
          <w:lang w:eastAsia="zh-CN"/>
        </w:rPr>
        <w:t>问题4：标书因为篇幅大，可能装订成一册太厚，影响整体装订效果，请问能否分册？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057"/>
        <w:gridCol w:w="2312"/>
        <w:gridCol w:w="5670"/>
      </w:tblGrid>
      <w:tr w:rsidR="00A14348">
        <w:tc>
          <w:tcPr>
            <w:tcW w:w="1057" w:type="dxa"/>
            <w:vAlign w:val="center"/>
          </w:tcPr>
          <w:p w:rsidR="00A14348" w:rsidRDefault="00E93DD1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eastAsia="宋体"/>
                <w:szCs w:val="20"/>
              </w:rPr>
            </w:pPr>
            <w:r>
              <w:rPr>
                <w:rFonts w:eastAsia="宋体"/>
                <w:szCs w:val="21"/>
              </w:rPr>
              <w:t>3.7.5</w:t>
            </w:r>
          </w:p>
        </w:tc>
        <w:tc>
          <w:tcPr>
            <w:tcW w:w="2312" w:type="dxa"/>
            <w:vAlign w:val="center"/>
          </w:tcPr>
          <w:p w:rsidR="00A14348" w:rsidRDefault="00E93DD1">
            <w:pPr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>装订要求</w:t>
            </w:r>
          </w:p>
        </w:tc>
        <w:tc>
          <w:tcPr>
            <w:tcW w:w="5670" w:type="dxa"/>
            <w:vAlign w:val="center"/>
          </w:tcPr>
          <w:p w:rsidR="00A14348" w:rsidRDefault="00E93DD1">
            <w:pPr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>按照投标人须知第</w:t>
            </w:r>
            <w:r>
              <w:rPr>
                <w:rFonts w:eastAsia="宋体"/>
                <w:szCs w:val="20"/>
              </w:rPr>
              <w:t>3.1.1</w:t>
            </w:r>
            <w:r>
              <w:rPr>
                <w:rFonts w:eastAsia="宋体"/>
                <w:szCs w:val="20"/>
              </w:rPr>
              <w:t>项规定的投标文件组成内容，投标文件应按以下要求装订：</w:t>
            </w:r>
          </w:p>
          <w:p w:rsidR="00A14348" w:rsidRDefault="00E93DD1">
            <w:pPr>
              <w:topLinePunct/>
              <w:adjustRightInd w:val="0"/>
              <w:spacing w:line="400" w:lineRule="exact"/>
              <w:textAlignment w:val="baseline"/>
              <w:rPr>
                <w:rFonts w:eastAsia="宋体"/>
              </w:rPr>
            </w:pPr>
            <w:r>
              <w:rPr>
                <w:rFonts w:eastAsia="黑体"/>
                <w:szCs w:val="20"/>
              </w:rPr>
              <w:t>√</w:t>
            </w:r>
            <w:r>
              <w:rPr>
                <w:rFonts w:eastAsia="宋体"/>
              </w:rPr>
              <w:t>装订成册</w:t>
            </w:r>
          </w:p>
          <w:p w:rsidR="00A14348" w:rsidRDefault="00A14348">
            <w:pPr>
              <w:topLinePunct/>
              <w:adjustRightInd w:val="0"/>
              <w:spacing w:line="400" w:lineRule="exact"/>
              <w:textAlignment w:val="baseline"/>
              <w:rPr>
                <w:rFonts w:eastAsia="宋体"/>
              </w:rPr>
            </w:pPr>
          </w:p>
          <w:p w:rsidR="00A14348" w:rsidRDefault="00E93DD1">
            <w:pPr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□</w:t>
            </w:r>
            <w:r>
              <w:rPr>
                <w:rFonts w:eastAsia="宋体"/>
              </w:rPr>
              <w:t>分册装订，共分</w:t>
            </w:r>
            <w:r>
              <w:rPr>
                <w:rFonts w:eastAsia="宋体"/>
                <w:u w:val="single"/>
              </w:rPr>
              <w:t xml:space="preserve">   </w:t>
            </w:r>
            <w:r>
              <w:rPr>
                <w:rFonts w:eastAsia="宋体"/>
              </w:rPr>
              <w:t>册，分别为：</w:t>
            </w:r>
          </w:p>
          <w:p w:rsidR="00A14348" w:rsidRDefault="00E93DD1">
            <w:pPr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第一册，包括</w:t>
            </w:r>
            <w:r>
              <w:rPr>
                <w:rFonts w:eastAsia="宋体"/>
                <w:u w:val="single"/>
              </w:rPr>
              <w:t xml:space="preserve">         </w:t>
            </w:r>
          </w:p>
          <w:p w:rsidR="00A14348" w:rsidRDefault="00E93DD1">
            <w:pPr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第二册，包括</w:t>
            </w:r>
            <w:r>
              <w:rPr>
                <w:rFonts w:eastAsia="宋体"/>
                <w:u w:val="single"/>
              </w:rPr>
              <w:t xml:space="preserve">         </w:t>
            </w:r>
          </w:p>
          <w:p w:rsidR="00A14348" w:rsidRDefault="00E93DD1">
            <w:pPr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eastAsia="宋体"/>
                <w:u w:val="single"/>
              </w:rPr>
            </w:pPr>
            <w:r>
              <w:rPr>
                <w:rFonts w:eastAsia="宋体"/>
              </w:rPr>
              <w:t>……</w:t>
            </w:r>
          </w:p>
          <w:p w:rsidR="00A14348" w:rsidRDefault="00E93DD1">
            <w:pPr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eastAsia="宋体"/>
                <w:u w:val="single"/>
              </w:rPr>
            </w:pPr>
            <w:r>
              <w:rPr>
                <w:rFonts w:eastAsia="宋体"/>
              </w:rPr>
              <w:t>投标文件采用</w:t>
            </w:r>
            <w:r>
              <w:rPr>
                <w:rFonts w:eastAsia="宋体"/>
                <w:szCs w:val="20"/>
              </w:rPr>
              <w:t>胶粘</w:t>
            </w:r>
            <w:r>
              <w:rPr>
                <w:rFonts w:eastAsia="宋体"/>
              </w:rPr>
              <w:t>方式装订，装订应牢固、不易拆散和换页，不得采用活页装订</w:t>
            </w:r>
          </w:p>
        </w:tc>
      </w:tr>
    </w:tbl>
    <w:p w:rsidR="00A14348" w:rsidRDefault="00E93DD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答复：允许分册。此处装订成册是指投标文件报价、商务、技术三部分不需要分开做成三册，并不是指投标文件只能做成一册。</w:t>
      </w:r>
    </w:p>
    <w:bookmarkEnd w:id="0"/>
    <w:p w:rsidR="00A14348" w:rsidRDefault="00A14348">
      <w:pPr>
        <w:pStyle w:val="a6"/>
        <w:widowControl/>
        <w:spacing w:beforeAutospacing="0" w:afterAutospacing="0" w:line="360" w:lineRule="auto"/>
        <w:rPr>
          <w:szCs w:val="24"/>
        </w:rPr>
      </w:pPr>
    </w:p>
    <w:sectPr w:rsidR="00A14348" w:rsidSect="0075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73" w:rsidRDefault="00BE0A73" w:rsidP="00511494">
      <w:r>
        <w:separator/>
      </w:r>
    </w:p>
  </w:endnote>
  <w:endnote w:type="continuationSeparator" w:id="0">
    <w:p w:rsidR="00BE0A73" w:rsidRDefault="00BE0A73" w:rsidP="0051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73" w:rsidRDefault="00BE0A73" w:rsidP="00511494">
      <w:r>
        <w:separator/>
      </w:r>
    </w:p>
  </w:footnote>
  <w:footnote w:type="continuationSeparator" w:id="0">
    <w:p w:rsidR="00BE0A73" w:rsidRDefault="00BE0A73" w:rsidP="00511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5E87"/>
    <w:rsid w:val="00180FDE"/>
    <w:rsid w:val="00185E47"/>
    <w:rsid w:val="001D5645"/>
    <w:rsid w:val="00201250"/>
    <w:rsid w:val="00294B4B"/>
    <w:rsid w:val="00385312"/>
    <w:rsid w:val="004D12D7"/>
    <w:rsid w:val="00511494"/>
    <w:rsid w:val="00554C59"/>
    <w:rsid w:val="00555AFC"/>
    <w:rsid w:val="00591836"/>
    <w:rsid w:val="0064054F"/>
    <w:rsid w:val="006675D7"/>
    <w:rsid w:val="00706A3A"/>
    <w:rsid w:val="007324CF"/>
    <w:rsid w:val="007526D0"/>
    <w:rsid w:val="00754742"/>
    <w:rsid w:val="00784A14"/>
    <w:rsid w:val="007850C5"/>
    <w:rsid w:val="007B6AF5"/>
    <w:rsid w:val="008349D1"/>
    <w:rsid w:val="00861366"/>
    <w:rsid w:val="00871A7D"/>
    <w:rsid w:val="00885E87"/>
    <w:rsid w:val="008A197B"/>
    <w:rsid w:val="00915627"/>
    <w:rsid w:val="009546A5"/>
    <w:rsid w:val="009848AE"/>
    <w:rsid w:val="00997C69"/>
    <w:rsid w:val="009C0EF8"/>
    <w:rsid w:val="009D036E"/>
    <w:rsid w:val="00A14348"/>
    <w:rsid w:val="00A34B0A"/>
    <w:rsid w:val="00A837C3"/>
    <w:rsid w:val="00B72097"/>
    <w:rsid w:val="00B81ED9"/>
    <w:rsid w:val="00BE0A73"/>
    <w:rsid w:val="00BE5AEE"/>
    <w:rsid w:val="00C37A2E"/>
    <w:rsid w:val="00C402D5"/>
    <w:rsid w:val="00CA4EEF"/>
    <w:rsid w:val="00D21DAA"/>
    <w:rsid w:val="00D81DCD"/>
    <w:rsid w:val="00DA4C32"/>
    <w:rsid w:val="00E74A8B"/>
    <w:rsid w:val="00E93DD1"/>
    <w:rsid w:val="00EE3404"/>
    <w:rsid w:val="00EF6545"/>
    <w:rsid w:val="00F72263"/>
    <w:rsid w:val="00FA7656"/>
    <w:rsid w:val="00FD5567"/>
    <w:rsid w:val="00FF0FB1"/>
    <w:rsid w:val="04B773D4"/>
    <w:rsid w:val="07B94A4A"/>
    <w:rsid w:val="085C2090"/>
    <w:rsid w:val="08CD2CD3"/>
    <w:rsid w:val="0CF25E72"/>
    <w:rsid w:val="10403CD9"/>
    <w:rsid w:val="116D3026"/>
    <w:rsid w:val="12432540"/>
    <w:rsid w:val="12535C31"/>
    <w:rsid w:val="138B2915"/>
    <w:rsid w:val="158803EC"/>
    <w:rsid w:val="15EC1117"/>
    <w:rsid w:val="1763297C"/>
    <w:rsid w:val="1B0444B5"/>
    <w:rsid w:val="1EA44B14"/>
    <w:rsid w:val="1FA84DB6"/>
    <w:rsid w:val="1FBF4AD5"/>
    <w:rsid w:val="1FC12164"/>
    <w:rsid w:val="1FF66FA2"/>
    <w:rsid w:val="20B95C5B"/>
    <w:rsid w:val="211D28C9"/>
    <w:rsid w:val="23960D16"/>
    <w:rsid w:val="240E5B58"/>
    <w:rsid w:val="24E5679A"/>
    <w:rsid w:val="25FB6FB5"/>
    <w:rsid w:val="2A8222DB"/>
    <w:rsid w:val="2C644863"/>
    <w:rsid w:val="2D2F6C5B"/>
    <w:rsid w:val="2EA82C37"/>
    <w:rsid w:val="31E43DD9"/>
    <w:rsid w:val="32A36CDE"/>
    <w:rsid w:val="33690C2C"/>
    <w:rsid w:val="346C6D49"/>
    <w:rsid w:val="352A77B2"/>
    <w:rsid w:val="359A1D2C"/>
    <w:rsid w:val="35FD7041"/>
    <w:rsid w:val="36410DDB"/>
    <w:rsid w:val="36A74727"/>
    <w:rsid w:val="37CF5328"/>
    <w:rsid w:val="38EC62CA"/>
    <w:rsid w:val="3D9B5E9B"/>
    <w:rsid w:val="41D41392"/>
    <w:rsid w:val="427D6D5A"/>
    <w:rsid w:val="43A21EA0"/>
    <w:rsid w:val="45547486"/>
    <w:rsid w:val="455A1E4A"/>
    <w:rsid w:val="4A380FB0"/>
    <w:rsid w:val="4BEA7100"/>
    <w:rsid w:val="4F61189C"/>
    <w:rsid w:val="50866B80"/>
    <w:rsid w:val="531C6EAE"/>
    <w:rsid w:val="551845AC"/>
    <w:rsid w:val="56B2343C"/>
    <w:rsid w:val="56DE049C"/>
    <w:rsid w:val="59BA1FBC"/>
    <w:rsid w:val="5B5B568A"/>
    <w:rsid w:val="5B662D11"/>
    <w:rsid w:val="5D80139D"/>
    <w:rsid w:val="5DB75A93"/>
    <w:rsid w:val="5DFC1CCC"/>
    <w:rsid w:val="5F1A34E7"/>
    <w:rsid w:val="618E089B"/>
    <w:rsid w:val="61A53370"/>
    <w:rsid w:val="638179D1"/>
    <w:rsid w:val="64B55B36"/>
    <w:rsid w:val="678E19D3"/>
    <w:rsid w:val="68F32B71"/>
    <w:rsid w:val="70984F78"/>
    <w:rsid w:val="71BC305C"/>
    <w:rsid w:val="749765BB"/>
    <w:rsid w:val="76771884"/>
    <w:rsid w:val="76972221"/>
    <w:rsid w:val="793D2BEC"/>
    <w:rsid w:val="7B02020A"/>
    <w:rsid w:val="7CC3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4742"/>
    <w:pPr>
      <w:keepNext/>
      <w:keepLines/>
      <w:widowControl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54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54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54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5474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rsid w:val="0075474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5474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74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5474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754742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李海良</dc:creator>
  <cp:lastModifiedBy>Administrator</cp:lastModifiedBy>
  <cp:revision>24</cp:revision>
  <dcterms:created xsi:type="dcterms:W3CDTF">2019-08-12T13:58:00Z</dcterms:created>
  <dcterms:modified xsi:type="dcterms:W3CDTF">2021-11-05T08:08:00Z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FC07712D20324149BF1D8C41DA24366A</vt:lpwstr>
  </property>
</Properties>
</file>